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438F" w:rsidRDefault="00ED438F" w:rsidP="00ED438F">
      <w:pPr>
        <w:jc w:val="center"/>
        <w:rPr>
          <w:rFonts w:ascii="Verdana" w:hAnsi="Verdana" w:cs="Arial"/>
          <w:sz w:val="28"/>
          <w:szCs w:val="28"/>
          <w:lang w:val="uk-UA"/>
        </w:rPr>
      </w:pPr>
      <w:r>
        <w:rPr>
          <w:rFonts w:ascii="Verdana" w:hAnsi="Verdana" w:cs="Arial"/>
          <w:noProof/>
          <w:sz w:val="28"/>
          <w:szCs w:val="28"/>
          <w:lang w:eastAsia="ru-RU"/>
        </w:rPr>
        <w:drawing>
          <wp:inline distT="0" distB="0" distL="0" distR="0">
            <wp:extent cx="5940425" cy="3344042"/>
            <wp:effectExtent l="0" t="0" r="3175" b="8890"/>
            <wp:docPr id="1" name="Рисунок 1" descr="C:\Users\Администратор\Desktop\фото громади\візитка ТГ astrid smith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громади\візитка ТГ astrid smith (1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38F" w:rsidRPr="00ED438F" w:rsidRDefault="00ED438F" w:rsidP="00ED438F">
      <w:pPr>
        <w:spacing w:after="0" w:line="240" w:lineRule="auto"/>
        <w:ind w:firstLine="709"/>
        <w:jc w:val="both"/>
        <w:rPr>
          <w:rFonts w:ascii="Verdana" w:hAnsi="Verdana" w:cs="Arial"/>
          <w:b/>
          <w:i/>
          <w:color w:val="002060"/>
          <w:sz w:val="24"/>
          <w:szCs w:val="24"/>
          <w:lang w:val="uk-UA"/>
        </w:rPr>
      </w:pPr>
      <w:r w:rsidRPr="00ED438F">
        <w:rPr>
          <w:rFonts w:ascii="Verdana" w:hAnsi="Verdana" w:cs="Arial"/>
          <w:sz w:val="24"/>
          <w:szCs w:val="24"/>
          <w:lang w:val="uk-UA"/>
        </w:rPr>
        <w:t xml:space="preserve">18 вересня 2024 року Петропавлівська селищна рада затвердила </w:t>
      </w:r>
      <w:r w:rsidRPr="00ED438F">
        <w:rPr>
          <w:rFonts w:ascii="Verdana" w:hAnsi="Verdana" w:cs="Arial"/>
          <w:b/>
          <w:i/>
          <w:color w:val="002060"/>
          <w:sz w:val="24"/>
          <w:szCs w:val="24"/>
          <w:lang w:val="uk-UA"/>
        </w:rPr>
        <w:t>«Програму комплексного відновлення території (її частини) Петропавлівської селищної територіальної громади до 2030 року»,</w:t>
      </w:r>
    </w:p>
    <w:p w:rsidR="00ED438F" w:rsidRPr="00ED438F" w:rsidRDefault="00ED438F" w:rsidP="00ED438F">
      <w:pPr>
        <w:spacing w:after="0" w:line="240" w:lineRule="auto"/>
        <w:ind w:firstLine="709"/>
        <w:jc w:val="both"/>
        <w:rPr>
          <w:rFonts w:ascii="Verdana" w:hAnsi="Verdana" w:cs="Arial"/>
          <w:b/>
          <w:i/>
          <w:color w:val="002060"/>
          <w:sz w:val="24"/>
          <w:szCs w:val="24"/>
          <w:lang w:val="uk-UA"/>
        </w:rPr>
      </w:pPr>
      <w:r w:rsidRPr="00ED438F">
        <w:rPr>
          <w:rFonts w:ascii="Verdana" w:hAnsi="Verdana" w:cs="Arial"/>
          <w:sz w:val="24"/>
          <w:szCs w:val="24"/>
          <w:lang w:val="uk-UA"/>
        </w:rPr>
        <w:t>в</w:t>
      </w:r>
      <w:r w:rsidRPr="00ED438F">
        <w:rPr>
          <w:rFonts w:ascii="Verdana" w:hAnsi="Verdana" w:cs="Arial"/>
          <w:sz w:val="24"/>
          <w:szCs w:val="24"/>
          <w:lang w:val="uk-UA"/>
        </w:rPr>
        <w:t xml:space="preserve"> рамках </w:t>
      </w:r>
      <w:proofErr w:type="spellStart"/>
      <w:r w:rsidRPr="00ED438F">
        <w:rPr>
          <w:rFonts w:ascii="Verdana" w:hAnsi="Verdana" w:cs="Arial"/>
          <w:sz w:val="24"/>
          <w:szCs w:val="24"/>
          <w:lang w:val="uk-UA"/>
        </w:rPr>
        <w:t>проєкту</w:t>
      </w:r>
      <w:proofErr w:type="spellEnd"/>
      <w:r w:rsidRPr="00ED438F">
        <w:rPr>
          <w:rFonts w:ascii="Verdana" w:hAnsi="Verdana" w:cs="Arial"/>
          <w:sz w:val="24"/>
          <w:szCs w:val="24"/>
          <w:lang w:val="uk-UA"/>
        </w:rPr>
        <w:t xml:space="preserve"> </w:t>
      </w:r>
      <w:r w:rsidRPr="00ED438F">
        <w:rPr>
          <w:rFonts w:ascii="Verdana" w:hAnsi="Verdana" w:cs="Arial"/>
          <w:b/>
          <w:i/>
          <w:color w:val="002060"/>
          <w:sz w:val="24"/>
          <w:szCs w:val="24"/>
          <w:lang w:val="uk-UA"/>
        </w:rPr>
        <w:t xml:space="preserve">«Нова енергія – сприяння діалогу для сталого розвитку українських вугільних регіонів» за підтримки Федерального міністерства економіки та захисту клімату Німеччини у співпраці з </w:t>
      </w:r>
      <w:proofErr w:type="spellStart"/>
      <w:r w:rsidRPr="00ED438F">
        <w:rPr>
          <w:rFonts w:ascii="Verdana" w:hAnsi="Verdana" w:cs="Arial"/>
          <w:b/>
          <w:i/>
          <w:color w:val="002060"/>
          <w:sz w:val="24"/>
          <w:szCs w:val="24"/>
        </w:rPr>
        <w:t>Deutsche</w:t>
      </w:r>
      <w:proofErr w:type="spellEnd"/>
      <w:r w:rsidRPr="00ED438F">
        <w:rPr>
          <w:rFonts w:ascii="Verdana" w:hAnsi="Verdana" w:cs="Arial"/>
          <w:b/>
          <w:i/>
          <w:color w:val="002060"/>
          <w:sz w:val="24"/>
          <w:szCs w:val="24"/>
          <w:lang w:val="uk-UA"/>
        </w:rPr>
        <w:t xml:space="preserve"> </w:t>
      </w:r>
      <w:proofErr w:type="spellStart"/>
      <w:r w:rsidRPr="00ED438F">
        <w:rPr>
          <w:rFonts w:ascii="Verdana" w:hAnsi="Verdana" w:cs="Arial"/>
          <w:b/>
          <w:i/>
          <w:color w:val="002060"/>
          <w:sz w:val="24"/>
          <w:szCs w:val="24"/>
        </w:rPr>
        <w:t>Gesellschaft</w:t>
      </w:r>
      <w:proofErr w:type="spellEnd"/>
      <w:r w:rsidRPr="00ED438F">
        <w:rPr>
          <w:rFonts w:ascii="Verdana" w:hAnsi="Verdana" w:cs="Arial"/>
          <w:b/>
          <w:i/>
          <w:color w:val="002060"/>
          <w:sz w:val="24"/>
          <w:szCs w:val="24"/>
          <w:lang w:val="uk-UA"/>
        </w:rPr>
        <w:t xml:space="preserve"> </w:t>
      </w:r>
      <w:r w:rsidRPr="00ED438F">
        <w:rPr>
          <w:rFonts w:ascii="Verdana" w:hAnsi="Verdana" w:cs="Arial"/>
          <w:b/>
          <w:i/>
          <w:color w:val="002060"/>
          <w:sz w:val="24"/>
          <w:szCs w:val="24"/>
        </w:rPr>
        <w:t>f</w:t>
      </w:r>
      <w:r w:rsidRPr="00ED438F">
        <w:rPr>
          <w:rFonts w:ascii="Verdana" w:hAnsi="Verdana" w:cs="Arial"/>
          <w:b/>
          <w:i/>
          <w:color w:val="002060"/>
          <w:sz w:val="24"/>
          <w:szCs w:val="24"/>
          <w:lang w:val="uk-UA"/>
        </w:rPr>
        <w:t>ü</w:t>
      </w:r>
      <w:r w:rsidRPr="00ED438F">
        <w:rPr>
          <w:rFonts w:ascii="Verdana" w:hAnsi="Verdana" w:cs="Arial"/>
          <w:b/>
          <w:i/>
          <w:color w:val="002060"/>
          <w:sz w:val="24"/>
          <w:szCs w:val="24"/>
        </w:rPr>
        <w:t>r</w:t>
      </w:r>
      <w:r w:rsidRPr="00ED438F">
        <w:rPr>
          <w:rFonts w:ascii="Verdana" w:hAnsi="Verdana" w:cs="Arial"/>
          <w:b/>
          <w:i/>
          <w:color w:val="002060"/>
          <w:sz w:val="24"/>
          <w:szCs w:val="24"/>
          <w:lang w:val="uk-UA"/>
        </w:rPr>
        <w:t xml:space="preserve"> </w:t>
      </w:r>
      <w:proofErr w:type="spellStart"/>
      <w:r w:rsidRPr="00ED438F">
        <w:rPr>
          <w:rFonts w:ascii="Verdana" w:hAnsi="Verdana" w:cs="Arial"/>
          <w:b/>
          <w:i/>
          <w:color w:val="002060"/>
          <w:sz w:val="24"/>
          <w:szCs w:val="24"/>
        </w:rPr>
        <w:t>Internationale</w:t>
      </w:r>
      <w:proofErr w:type="spellEnd"/>
      <w:r w:rsidRPr="00ED438F">
        <w:rPr>
          <w:rFonts w:ascii="Verdana" w:hAnsi="Verdana" w:cs="Arial"/>
          <w:b/>
          <w:i/>
          <w:color w:val="002060"/>
          <w:sz w:val="24"/>
          <w:szCs w:val="24"/>
          <w:lang w:val="uk-UA"/>
        </w:rPr>
        <w:t xml:space="preserve"> </w:t>
      </w:r>
      <w:proofErr w:type="spellStart"/>
      <w:r w:rsidRPr="00ED438F">
        <w:rPr>
          <w:rFonts w:ascii="Verdana" w:hAnsi="Verdana" w:cs="Arial"/>
          <w:b/>
          <w:i/>
          <w:color w:val="002060"/>
          <w:sz w:val="24"/>
          <w:szCs w:val="24"/>
        </w:rPr>
        <w:t>Zusammenarbeit</w:t>
      </w:r>
      <w:proofErr w:type="spellEnd"/>
      <w:r w:rsidRPr="00ED438F">
        <w:rPr>
          <w:rFonts w:ascii="Verdana" w:hAnsi="Verdana" w:cs="Arial"/>
          <w:b/>
          <w:i/>
          <w:color w:val="002060"/>
          <w:sz w:val="24"/>
          <w:szCs w:val="24"/>
          <w:lang w:val="uk-UA"/>
        </w:rPr>
        <w:t xml:space="preserve"> (</w:t>
      </w:r>
      <w:r w:rsidRPr="00ED438F">
        <w:rPr>
          <w:rFonts w:ascii="Verdana" w:hAnsi="Verdana" w:cs="Arial"/>
          <w:b/>
          <w:i/>
          <w:color w:val="002060"/>
          <w:sz w:val="24"/>
          <w:szCs w:val="24"/>
        </w:rPr>
        <w:t>GIZ</w:t>
      </w:r>
      <w:r w:rsidRPr="00ED438F">
        <w:rPr>
          <w:rFonts w:ascii="Verdana" w:hAnsi="Verdana" w:cs="Arial"/>
          <w:b/>
          <w:i/>
          <w:color w:val="002060"/>
          <w:sz w:val="24"/>
          <w:szCs w:val="24"/>
          <w:lang w:val="uk-UA"/>
        </w:rPr>
        <w:t xml:space="preserve">) </w:t>
      </w:r>
      <w:proofErr w:type="spellStart"/>
      <w:r w:rsidRPr="00ED438F">
        <w:rPr>
          <w:rFonts w:ascii="Verdana" w:hAnsi="Verdana" w:cs="Arial"/>
          <w:b/>
          <w:i/>
          <w:color w:val="002060"/>
          <w:sz w:val="24"/>
          <w:szCs w:val="24"/>
        </w:rPr>
        <w:t>GmbH</w:t>
      </w:r>
      <w:proofErr w:type="spellEnd"/>
      <w:r w:rsidRPr="00ED438F">
        <w:rPr>
          <w:rFonts w:ascii="Verdana" w:hAnsi="Verdana" w:cs="Arial"/>
          <w:b/>
          <w:i/>
          <w:color w:val="002060"/>
          <w:sz w:val="24"/>
          <w:szCs w:val="24"/>
          <w:lang w:val="uk-UA"/>
        </w:rPr>
        <w:t>".</w:t>
      </w:r>
    </w:p>
    <w:p w:rsidR="00ED438F" w:rsidRDefault="00ED438F" w:rsidP="00ED438F">
      <w:pPr>
        <w:spacing w:after="0" w:line="240" w:lineRule="auto"/>
        <w:ind w:firstLine="709"/>
        <w:jc w:val="both"/>
        <w:rPr>
          <w:rFonts w:ascii="Verdana" w:hAnsi="Verdana" w:cs="Arial"/>
          <w:color w:val="002060"/>
          <w:sz w:val="24"/>
          <w:szCs w:val="24"/>
          <w:lang w:val="uk-UA"/>
        </w:rPr>
      </w:pPr>
    </w:p>
    <w:p w:rsidR="00ED438F" w:rsidRDefault="00ED438F" w:rsidP="00ED438F">
      <w:pPr>
        <w:spacing w:after="0" w:line="240" w:lineRule="auto"/>
        <w:ind w:firstLine="709"/>
        <w:jc w:val="both"/>
        <w:rPr>
          <w:rFonts w:ascii="Verdana" w:hAnsi="Verdana" w:cs="Arial"/>
          <w:b/>
          <w:i/>
          <w:color w:val="002060"/>
          <w:sz w:val="24"/>
          <w:szCs w:val="24"/>
          <w:lang w:val="uk-UA"/>
        </w:rPr>
      </w:pPr>
      <w:r w:rsidRPr="00ED438F">
        <w:rPr>
          <w:rFonts w:ascii="Verdana" w:hAnsi="Verdana" w:cs="Arial"/>
          <w:b/>
          <w:i/>
          <w:color w:val="002060"/>
          <w:sz w:val="24"/>
          <w:szCs w:val="24"/>
          <w:lang w:val="uk-UA"/>
        </w:rPr>
        <w:t xml:space="preserve">Програму </w:t>
      </w:r>
      <w:r w:rsidRPr="00ED438F">
        <w:rPr>
          <w:rFonts w:ascii="Verdana" w:hAnsi="Verdana" w:cs="Arial"/>
          <w:b/>
          <w:i/>
          <w:color w:val="002060"/>
          <w:sz w:val="24"/>
          <w:szCs w:val="24"/>
          <w:lang w:val="uk-UA"/>
        </w:rPr>
        <w:t xml:space="preserve">розроблено спільно з Фондом </w:t>
      </w:r>
      <w:r w:rsidRPr="00ED438F">
        <w:rPr>
          <w:rFonts w:ascii="Verdana" w:hAnsi="Verdana" w:cs="Arial"/>
          <w:b/>
          <w:i/>
          <w:color w:val="002060"/>
          <w:sz w:val="24"/>
          <w:szCs w:val="24"/>
        </w:rPr>
        <w:t>RCERBS</w:t>
      </w:r>
      <w:r w:rsidRPr="00ED438F">
        <w:rPr>
          <w:rFonts w:ascii="Verdana" w:hAnsi="Verdana" w:cs="Arial"/>
          <w:b/>
          <w:i/>
          <w:color w:val="002060"/>
          <w:sz w:val="24"/>
          <w:szCs w:val="24"/>
          <w:lang w:val="uk-UA"/>
        </w:rPr>
        <w:t xml:space="preserve"> м. Лубни у співпраці з “Центром екологічних ініціатив “</w:t>
      </w:r>
      <w:proofErr w:type="spellStart"/>
      <w:r w:rsidRPr="00ED438F">
        <w:rPr>
          <w:rFonts w:ascii="Verdana" w:hAnsi="Verdana" w:cs="Arial"/>
          <w:b/>
          <w:i/>
          <w:color w:val="002060"/>
          <w:sz w:val="24"/>
          <w:szCs w:val="24"/>
          <w:lang w:val="uk-UA"/>
        </w:rPr>
        <w:t>Екодія</w:t>
      </w:r>
      <w:proofErr w:type="spellEnd"/>
      <w:r w:rsidRPr="00ED438F">
        <w:rPr>
          <w:rFonts w:ascii="Verdana" w:hAnsi="Verdana" w:cs="Arial"/>
          <w:b/>
          <w:i/>
          <w:color w:val="002060"/>
          <w:sz w:val="24"/>
          <w:szCs w:val="24"/>
          <w:lang w:val="uk-UA"/>
        </w:rPr>
        <w:t>”</w:t>
      </w:r>
      <w:r>
        <w:rPr>
          <w:rFonts w:ascii="Verdana" w:hAnsi="Verdana" w:cs="Arial"/>
          <w:b/>
          <w:i/>
          <w:color w:val="002060"/>
          <w:sz w:val="24"/>
          <w:szCs w:val="24"/>
          <w:lang w:val="uk-UA"/>
        </w:rPr>
        <w:t>.</w:t>
      </w:r>
    </w:p>
    <w:p w:rsidR="00ED438F" w:rsidRDefault="00ED438F" w:rsidP="00ED438F">
      <w:pPr>
        <w:spacing w:after="0" w:line="240" w:lineRule="auto"/>
        <w:ind w:firstLine="709"/>
        <w:jc w:val="both"/>
        <w:rPr>
          <w:rFonts w:ascii="Verdana" w:hAnsi="Verdana" w:cs="Arial"/>
          <w:b/>
          <w:i/>
          <w:color w:val="002060"/>
          <w:sz w:val="24"/>
          <w:szCs w:val="24"/>
          <w:lang w:val="uk-UA"/>
        </w:rPr>
      </w:pPr>
    </w:p>
    <w:p w:rsidR="00E60F0E" w:rsidRPr="00E60F0E" w:rsidRDefault="00E60F0E" w:rsidP="00E60F0E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Verdana" w:eastAsia="Times New Roman" w:hAnsi="Verdana" w:cs="Arial"/>
          <w:sz w:val="24"/>
          <w:szCs w:val="24"/>
          <w:bdr w:val="none" w:sz="0" w:space="0" w:color="auto" w:frame="1"/>
          <w:lang w:val="uk-UA" w:eastAsia="uk-UA"/>
        </w:rPr>
      </w:pPr>
      <w:r w:rsidRPr="00E60F0E">
        <w:rPr>
          <w:rFonts w:ascii="Verdana" w:eastAsia="Times New Roman" w:hAnsi="Verdana" w:cs="Arial"/>
          <w:sz w:val="24"/>
          <w:szCs w:val="24"/>
          <w:bdr w:val="none" w:sz="0" w:space="0" w:color="auto" w:frame="1"/>
          <w:lang w:val="uk-UA" w:eastAsia="uk-UA"/>
        </w:rPr>
        <w:t xml:space="preserve">Основним завданням </w:t>
      </w:r>
      <w:r w:rsidRPr="00E60F0E">
        <w:rPr>
          <w:rFonts w:ascii="Verdana" w:eastAsia="Times New Roman" w:hAnsi="Verdana" w:cs="Arial"/>
          <w:b/>
          <w:i/>
          <w:color w:val="002060"/>
          <w:sz w:val="24"/>
          <w:szCs w:val="24"/>
          <w:bdr w:val="none" w:sz="0" w:space="0" w:color="auto" w:frame="1"/>
          <w:lang w:val="uk-UA" w:eastAsia="uk-UA"/>
        </w:rPr>
        <w:t>«</w:t>
      </w:r>
      <w:r w:rsidRPr="00E60F0E">
        <w:rPr>
          <w:rFonts w:ascii="Verdana" w:eastAsia="Times New Roman" w:hAnsi="Verdana" w:cs="Arial"/>
          <w:b/>
          <w:i/>
          <w:color w:val="002060"/>
          <w:sz w:val="24"/>
          <w:szCs w:val="24"/>
          <w:bdr w:val="none" w:sz="0" w:space="0" w:color="auto" w:frame="1"/>
          <w:lang w:val="uk-UA" w:eastAsia="uk-UA"/>
        </w:rPr>
        <w:t>Програми комплексного відновлення</w:t>
      </w:r>
      <w:r w:rsidRPr="00E60F0E">
        <w:rPr>
          <w:rFonts w:ascii="Verdana" w:eastAsia="Times New Roman" w:hAnsi="Verdana" w:cs="Arial"/>
          <w:b/>
          <w:i/>
          <w:color w:val="002060"/>
          <w:sz w:val="24"/>
          <w:szCs w:val="24"/>
          <w:bdr w:val="none" w:sz="0" w:space="0" w:color="auto" w:frame="1"/>
          <w:lang w:val="uk-UA" w:eastAsia="uk-UA"/>
        </w:rPr>
        <w:t>»</w:t>
      </w:r>
      <w:r w:rsidRPr="00E60F0E">
        <w:rPr>
          <w:rFonts w:ascii="Verdana" w:eastAsia="Times New Roman" w:hAnsi="Verdana" w:cs="Arial"/>
          <w:b/>
          <w:i/>
          <w:color w:val="002060"/>
          <w:sz w:val="24"/>
          <w:szCs w:val="24"/>
          <w:bdr w:val="none" w:sz="0" w:space="0" w:color="auto" w:frame="1"/>
          <w:lang w:val="uk-UA" w:eastAsia="uk-UA"/>
        </w:rPr>
        <w:t xml:space="preserve"> </w:t>
      </w:r>
      <w:r w:rsidRPr="00E60F0E">
        <w:rPr>
          <w:rFonts w:ascii="Verdana" w:eastAsia="Times New Roman" w:hAnsi="Verdana" w:cs="Arial"/>
          <w:sz w:val="24"/>
          <w:szCs w:val="24"/>
          <w:bdr w:val="none" w:sz="0" w:space="0" w:color="auto" w:frame="1"/>
          <w:lang w:val="uk-UA" w:eastAsia="uk-UA"/>
        </w:rPr>
        <w:t xml:space="preserve">є в першу чергу подолання негативних наслідків як військової агресії, так і інших негативних впливів на життєдіяльність громади, які викликані різноманітними факторами. </w:t>
      </w:r>
    </w:p>
    <w:p w:rsidR="00E60F0E" w:rsidRPr="00E60F0E" w:rsidRDefault="00E60F0E" w:rsidP="00E60F0E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Verdana" w:eastAsia="Verdana" w:hAnsi="Verdana" w:cs="Arial"/>
          <w:b/>
          <w:i/>
          <w:color w:val="002060"/>
          <w:sz w:val="24"/>
          <w:szCs w:val="24"/>
          <w:lang w:val="uk-UA"/>
        </w:rPr>
      </w:pPr>
      <w:r w:rsidRPr="00E60F0E">
        <w:rPr>
          <w:rFonts w:ascii="Verdana" w:eastAsia="Times New Roman" w:hAnsi="Verdana" w:cs="Arial"/>
          <w:b/>
          <w:i/>
          <w:color w:val="002060"/>
          <w:sz w:val="24"/>
          <w:szCs w:val="24"/>
          <w:bdr w:val="none" w:sz="0" w:space="0" w:color="auto" w:frame="1"/>
          <w:lang w:val="uk-UA" w:eastAsia="uk-UA"/>
        </w:rPr>
        <w:t>«Програма комплексного відновлення території Петропавлівської селищної громади до 2030 року»</w:t>
      </w:r>
      <w:r w:rsidRPr="00E60F0E">
        <w:rPr>
          <w:rFonts w:ascii="Verdana" w:eastAsia="Times New Roman" w:hAnsi="Verdana" w:cs="Arial"/>
          <w:sz w:val="24"/>
          <w:szCs w:val="24"/>
          <w:bdr w:val="none" w:sz="0" w:space="0" w:color="auto" w:frame="1"/>
          <w:lang w:val="uk-UA" w:eastAsia="uk-UA"/>
        </w:rPr>
        <w:t xml:space="preserve"> являє собою документ, у якому визначено </w:t>
      </w:r>
      <w:r w:rsidRPr="00E60F0E">
        <w:rPr>
          <w:rFonts w:ascii="Verdana" w:eastAsia="Times New Roman" w:hAnsi="Verdana" w:cs="Arial"/>
          <w:b/>
          <w:i/>
          <w:color w:val="002060"/>
          <w:sz w:val="24"/>
          <w:szCs w:val="24"/>
          <w:bdr w:val="none" w:sz="0" w:space="0" w:color="auto" w:frame="1"/>
          <w:lang w:val="uk-UA" w:eastAsia="uk-UA"/>
        </w:rPr>
        <w:t>П</w:t>
      </w:r>
      <w:r w:rsidRPr="00E60F0E">
        <w:rPr>
          <w:rFonts w:ascii="Verdana" w:eastAsia="Times New Roman" w:hAnsi="Verdana" w:cs="Arial"/>
          <w:b/>
          <w:i/>
          <w:color w:val="002060"/>
          <w:sz w:val="24"/>
          <w:szCs w:val="24"/>
          <w:bdr w:val="none" w:sz="0" w:space="0" w:color="auto" w:frame="1"/>
          <w:lang w:val="uk-UA" w:eastAsia="uk-UA"/>
        </w:rPr>
        <w:t>лан дій</w:t>
      </w:r>
      <w:r w:rsidRPr="00E60F0E">
        <w:rPr>
          <w:rFonts w:ascii="Verdana" w:eastAsia="Times New Roman" w:hAnsi="Verdana" w:cs="Arial"/>
          <w:b/>
          <w:sz w:val="24"/>
          <w:szCs w:val="24"/>
          <w:bdr w:val="none" w:sz="0" w:space="0" w:color="auto" w:frame="1"/>
          <w:lang w:val="uk-UA" w:eastAsia="uk-UA"/>
        </w:rPr>
        <w:t>,</w:t>
      </w:r>
      <w:r w:rsidRPr="00E60F0E">
        <w:rPr>
          <w:rFonts w:ascii="Verdana" w:eastAsia="Times New Roman" w:hAnsi="Verdana" w:cs="Arial"/>
          <w:sz w:val="24"/>
          <w:szCs w:val="24"/>
          <w:bdr w:val="none" w:sz="0" w:space="0" w:color="auto" w:frame="1"/>
          <w:lang w:val="uk-UA" w:eastAsia="uk-UA"/>
        </w:rPr>
        <w:t xml:space="preserve"> які необхідно послідовно виконати </w:t>
      </w:r>
      <w:r w:rsidRPr="00E60F0E">
        <w:rPr>
          <w:rFonts w:ascii="Verdana" w:eastAsia="Times New Roman" w:hAnsi="Verdana" w:cs="Arial"/>
          <w:b/>
          <w:i/>
          <w:color w:val="002060"/>
          <w:sz w:val="24"/>
          <w:szCs w:val="24"/>
          <w:bdr w:val="none" w:sz="0" w:space="0" w:color="auto" w:frame="1"/>
          <w:lang w:val="uk-UA" w:eastAsia="uk-UA"/>
        </w:rPr>
        <w:t>для досягнення нового якісного стану територіальної громади – стану ві</w:t>
      </w:r>
      <w:bookmarkStart w:id="0" w:name="_GoBack"/>
      <w:bookmarkEnd w:id="0"/>
      <w:r w:rsidRPr="00E60F0E">
        <w:rPr>
          <w:rFonts w:ascii="Verdana" w:eastAsia="Times New Roman" w:hAnsi="Verdana" w:cs="Arial"/>
          <w:b/>
          <w:i/>
          <w:color w:val="002060"/>
          <w:sz w:val="24"/>
          <w:szCs w:val="24"/>
          <w:bdr w:val="none" w:sz="0" w:space="0" w:color="auto" w:frame="1"/>
          <w:lang w:val="uk-UA" w:eastAsia="uk-UA"/>
        </w:rPr>
        <w:t>дновленої повоєнної функціональності, на засадах "краще, ніж було".</w:t>
      </w:r>
    </w:p>
    <w:p w:rsidR="00E60F0E" w:rsidRPr="00E60F0E" w:rsidRDefault="00E60F0E" w:rsidP="00ED438F">
      <w:pPr>
        <w:spacing w:after="0" w:line="240" w:lineRule="auto"/>
        <w:ind w:firstLine="709"/>
        <w:jc w:val="both"/>
        <w:rPr>
          <w:rFonts w:ascii="Verdana" w:hAnsi="Verdana" w:cs="Arial"/>
          <w:sz w:val="24"/>
          <w:szCs w:val="24"/>
          <w:lang w:val="uk-UA"/>
        </w:rPr>
      </w:pPr>
    </w:p>
    <w:p w:rsidR="00ED438F" w:rsidRPr="00ED438F" w:rsidRDefault="00ED438F" w:rsidP="00ED438F">
      <w:pPr>
        <w:spacing w:after="0" w:line="240" w:lineRule="auto"/>
        <w:ind w:firstLine="709"/>
        <w:jc w:val="both"/>
        <w:rPr>
          <w:rFonts w:ascii="Verdana" w:hAnsi="Verdana" w:cs="Arial"/>
          <w:sz w:val="24"/>
          <w:szCs w:val="24"/>
          <w:lang w:val="uk-UA"/>
        </w:rPr>
      </w:pPr>
      <w:r w:rsidRPr="00ED438F">
        <w:rPr>
          <w:rFonts w:ascii="Verdana" w:hAnsi="Verdana" w:cs="Arial"/>
          <w:sz w:val="24"/>
          <w:szCs w:val="24"/>
          <w:lang w:val="uk-UA"/>
        </w:rPr>
        <w:t>Сектор економічного розвитку та інвестиційної діяльності ТГ</w:t>
      </w:r>
    </w:p>
    <w:p w:rsidR="00ED438F" w:rsidRPr="00ED438F" w:rsidRDefault="00ED438F" w:rsidP="00ED438F">
      <w:pPr>
        <w:spacing w:after="0" w:line="240" w:lineRule="auto"/>
        <w:ind w:firstLine="709"/>
        <w:jc w:val="both"/>
        <w:rPr>
          <w:rFonts w:ascii="Verdana" w:hAnsi="Verdana" w:cs="Arial"/>
          <w:sz w:val="24"/>
          <w:szCs w:val="24"/>
          <w:lang w:val="uk-UA"/>
        </w:rPr>
      </w:pPr>
      <w:proofErr w:type="spellStart"/>
      <w:r w:rsidRPr="00ED438F">
        <w:rPr>
          <w:rFonts w:ascii="Verdana" w:hAnsi="Verdana" w:cs="Arial"/>
          <w:sz w:val="24"/>
          <w:szCs w:val="24"/>
          <w:lang w:val="uk-UA"/>
        </w:rPr>
        <w:t>Григоревська</w:t>
      </w:r>
      <w:proofErr w:type="spellEnd"/>
      <w:r w:rsidRPr="00ED438F">
        <w:rPr>
          <w:rFonts w:ascii="Verdana" w:hAnsi="Verdana" w:cs="Arial"/>
          <w:sz w:val="24"/>
          <w:szCs w:val="24"/>
          <w:lang w:val="uk-UA"/>
        </w:rPr>
        <w:t xml:space="preserve"> Олена </w:t>
      </w:r>
    </w:p>
    <w:p w:rsidR="00ED438F" w:rsidRPr="00ED438F" w:rsidRDefault="00ED438F" w:rsidP="00ED438F">
      <w:pPr>
        <w:spacing w:after="0" w:line="240" w:lineRule="auto"/>
        <w:ind w:firstLine="709"/>
        <w:jc w:val="both"/>
        <w:rPr>
          <w:rFonts w:ascii="Verdana" w:hAnsi="Verdana" w:cs="Arial"/>
          <w:b/>
          <w:i/>
          <w:sz w:val="24"/>
          <w:szCs w:val="24"/>
          <w:lang w:val="uk-UA"/>
        </w:rPr>
      </w:pPr>
    </w:p>
    <w:p w:rsidR="00E60F0E" w:rsidRDefault="00ED438F" w:rsidP="00E60F0E">
      <w:pPr>
        <w:spacing w:after="0" w:line="240" w:lineRule="auto"/>
        <w:ind w:firstLine="709"/>
        <w:jc w:val="both"/>
        <w:rPr>
          <w:rFonts w:ascii="Verdana" w:hAnsi="Verdana" w:cs="Arial"/>
          <w:i/>
          <w:sz w:val="24"/>
          <w:szCs w:val="24"/>
          <w:lang w:val="uk-UA"/>
        </w:rPr>
      </w:pPr>
      <w:r w:rsidRPr="00ED438F">
        <w:rPr>
          <w:rFonts w:ascii="Verdana" w:hAnsi="Verdana" w:cs="Arial"/>
          <w:i/>
          <w:sz w:val="24"/>
          <w:szCs w:val="24"/>
          <w:lang w:val="uk-UA"/>
        </w:rPr>
        <w:t>Посилання на сайт:</w:t>
      </w:r>
    </w:p>
    <w:p w:rsidR="00E60F0E" w:rsidRPr="00FB40C4" w:rsidRDefault="00E60F0E" w:rsidP="00E60F0E">
      <w:pPr>
        <w:pStyle w:val="a5"/>
        <w:ind w:left="0" w:firstLine="709"/>
        <w:rPr>
          <w:i/>
          <w:color w:val="0000FF"/>
          <w:sz w:val="28"/>
          <w:szCs w:val="28"/>
          <w:u w:val="single"/>
          <w:shd w:val="clear" w:color="auto" w:fill="FFFFFF"/>
          <w:lang w:val="uk-UA"/>
        </w:rPr>
      </w:pPr>
      <w:hyperlink r:id="rId6" w:tgtFrame="_blank" w:history="1">
        <w:r w:rsidRPr="00FB40C4">
          <w:rPr>
            <w:i/>
            <w:color w:val="0000FF"/>
            <w:sz w:val="28"/>
            <w:szCs w:val="28"/>
            <w:u w:val="single"/>
            <w:shd w:val="clear" w:color="auto" w:fill="FFFFFF"/>
            <w:lang w:val="uk-UA"/>
          </w:rPr>
          <w:t>Про затвердження "Програми комплексного відновлення території ( її частини ) Петропавлівської селищної територіальної громади до 2030 року | Петропавлівська селищна рада (</w:t>
        </w:r>
        <w:proofErr w:type="spellStart"/>
        <w:r w:rsidRPr="00FB40C4">
          <w:rPr>
            <w:i/>
            <w:color w:val="0000FF"/>
            <w:sz w:val="28"/>
            <w:szCs w:val="28"/>
            <w:u w:val="single"/>
            <w:shd w:val="clear" w:color="auto" w:fill="FFFFFF"/>
          </w:rPr>
          <w:t>dp</w:t>
        </w:r>
        <w:proofErr w:type="spellEnd"/>
        <w:r w:rsidRPr="00FB40C4">
          <w:rPr>
            <w:i/>
            <w:color w:val="0000FF"/>
            <w:sz w:val="28"/>
            <w:szCs w:val="28"/>
            <w:u w:val="single"/>
            <w:shd w:val="clear" w:color="auto" w:fill="FFFFFF"/>
            <w:lang w:val="uk-UA"/>
          </w:rPr>
          <w:t>.</w:t>
        </w:r>
        <w:proofErr w:type="spellStart"/>
        <w:r w:rsidRPr="00FB40C4">
          <w:rPr>
            <w:i/>
            <w:color w:val="0000FF"/>
            <w:sz w:val="28"/>
            <w:szCs w:val="28"/>
            <w:u w:val="single"/>
            <w:shd w:val="clear" w:color="auto" w:fill="FFFFFF"/>
          </w:rPr>
          <w:t>gov</w:t>
        </w:r>
        <w:proofErr w:type="spellEnd"/>
        <w:r w:rsidRPr="00FB40C4">
          <w:rPr>
            <w:i/>
            <w:color w:val="0000FF"/>
            <w:sz w:val="28"/>
            <w:szCs w:val="28"/>
            <w:u w:val="single"/>
            <w:shd w:val="clear" w:color="auto" w:fill="FFFFFF"/>
            <w:lang w:val="uk-UA"/>
          </w:rPr>
          <w:t>.</w:t>
        </w:r>
        <w:proofErr w:type="spellStart"/>
        <w:r w:rsidRPr="00FB40C4">
          <w:rPr>
            <w:i/>
            <w:color w:val="0000FF"/>
            <w:sz w:val="28"/>
            <w:szCs w:val="28"/>
            <w:u w:val="single"/>
            <w:shd w:val="clear" w:color="auto" w:fill="FFFFFF"/>
          </w:rPr>
          <w:t>ua</w:t>
        </w:r>
        <w:proofErr w:type="spellEnd"/>
        <w:r w:rsidRPr="00FB40C4">
          <w:rPr>
            <w:i/>
            <w:color w:val="0000FF"/>
            <w:sz w:val="28"/>
            <w:szCs w:val="28"/>
            <w:u w:val="single"/>
            <w:shd w:val="clear" w:color="auto" w:fill="FFFFFF"/>
            <w:lang w:val="uk-UA"/>
          </w:rPr>
          <w:t>)</w:t>
        </w:r>
      </w:hyperlink>
    </w:p>
    <w:p w:rsidR="00E60F0E" w:rsidRPr="00FB40C4" w:rsidRDefault="00E60F0E" w:rsidP="00E60F0E">
      <w:pPr>
        <w:pStyle w:val="a5"/>
        <w:ind w:left="0" w:firstLine="709"/>
        <w:jc w:val="both"/>
        <w:rPr>
          <w:i/>
          <w:sz w:val="28"/>
          <w:szCs w:val="28"/>
          <w:lang w:val="uk-UA"/>
        </w:rPr>
      </w:pPr>
    </w:p>
    <w:p w:rsidR="00ED438F" w:rsidRPr="00ED438F" w:rsidRDefault="00ED438F" w:rsidP="00ED438F">
      <w:pPr>
        <w:spacing w:after="0" w:line="240" w:lineRule="auto"/>
        <w:ind w:firstLine="709"/>
        <w:jc w:val="both"/>
        <w:rPr>
          <w:rFonts w:ascii="Verdana" w:hAnsi="Verdana" w:cs="Arial"/>
          <w:b/>
          <w:i/>
          <w:sz w:val="24"/>
          <w:szCs w:val="24"/>
          <w:lang w:val="uk-UA"/>
        </w:rPr>
      </w:pPr>
    </w:p>
    <w:sectPr w:rsidR="00ED438F" w:rsidRPr="00ED438F" w:rsidSect="00E60F0E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438F"/>
    <w:rsid w:val="00240A6C"/>
    <w:rsid w:val="00B0769E"/>
    <w:rsid w:val="00E60F0E"/>
    <w:rsid w:val="00ED4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43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438F"/>
    <w:rPr>
      <w:rFonts w:ascii="Tahoma" w:hAnsi="Tahoma" w:cs="Tahoma"/>
      <w:sz w:val="16"/>
      <w:szCs w:val="16"/>
    </w:rPr>
  </w:style>
  <w:style w:type="paragraph" w:styleId="a5">
    <w:name w:val="List Paragraph"/>
    <w:basedOn w:val="a"/>
    <w:link w:val="a6"/>
    <w:uiPriority w:val="34"/>
    <w:qFormat/>
    <w:rsid w:val="00E60F0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Абзац списка Знак"/>
    <w:link w:val="a5"/>
    <w:uiPriority w:val="34"/>
    <w:qFormat/>
    <w:locked/>
    <w:rsid w:val="00E60F0E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43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438F"/>
    <w:rPr>
      <w:rFonts w:ascii="Tahoma" w:hAnsi="Tahoma" w:cs="Tahoma"/>
      <w:sz w:val="16"/>
      <w:szCs w:val="16"/>
    </w:rPr>
  </w:style>
  <w:style w:type="paragraph" w:styleId="a5">
    <w:name w:val="List Paragraph"/>
    <w:basedOn w:val="a"/>
    <w:link w:val="a6"/>
    <w:uiPriority w:val="34"/>
    <w:qFormat/>
    <w:rsid w:val="00E60F0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Абзац списка Знак"/>
    <w:link w:val="a5"/>
    <w:uiPriority w:val="34"/>
    <w:qFormat/>
    <w:locked/>
    <w:rsid w:val="00E60F0E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petropotg.dp.gov.ua/rishennya-gromadi/pro-zatverdzhennia-prohramy-kompleksnoho-vidnovlennia-terytorii-ii-chastyny-petropavlivskoi-selyshchnoi-terytorialnoi-hromady-do-2030-roku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238</Words>
  <Characters>1359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cp:lastPrinted>2024-10-03T10:38:00Z</cp:lastPrinted>
  <dcterms:created xsi:type="dcterms:W3CDTF">2024-10-03T10:22:00Z</dcterms:created>
  <dcterms:modified xsi:type="dcterms:W3CDTF">2024-10-03T10:39:00Z</dcterms:modified>
</cp:coreProperties>
</file>